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78" w:rsidRPr="00F26EA4" w:rsidRDefault="00DA4F6C" w:rsidP="005E09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EA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BORSZÖRCSÖK</w:t>
      </w:r>
      <w:r w:rsidR="005E0978" w:rsidRPr="00F26EA4">
        <w:rPr>
          <w:rFonts w:ascii="Times New Roman" w:hAnsi="Times New Roman" w:cs="Times New Roman"/>
          <w:b/>
          <w:sz w:val="26"/>
          <w:szCs w:val="26"/>
        </w:rPr>
        <w:t xml:space="preserve"> KÖZSÉG </w:t>
      </w:r>
      <w:r w:rsidR="004A679B">
        <w:rPr>
          <w:rFonts w:ascii="Times New Roman" w:hAnsi="Times New Roman" w:cs="Times New Roman"/>
          <w:b/>
          <w:sz w:val="26"/>
          <w:szCs w:val="26"/>
        </w:rPr>
        <w:t>ÖNKORMÁNYZAT KÉPVISELŐ-TESTÜLETÉNEK</w:t>
      </w:r>
    </w:p>
    <w:p w:rsidR="005E0978" w:rsidRPr="00F26EA4" w:rsidRDefault="005E0978" w:rsidP="005E097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978" w:rsidRPr="00F26EA4" w:rsidRDefault="00DA4F6C" w:rsidP="004B1A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EA4">
        <w:rPr>
          <w:rFonts w:ascii="Times New Roman" w:hAnsi="Times New Roman" w:cs="Times New Roman"/>
          <w:b/>
          <w:sz w:val="26"/>
          <w:szCs w:val="26"/>
        </w:rPr>
        <w:t>5</w:t>
      </w:r>
      <w:r w:rsidR="005E0978" w:rsidRPr="00F26EA4">
        <w:rPr>
          <w:rFonts w:ascii="Times New Roman" w:hAnsi="Times New Roman" w:cs="Times New Roman"/>
          <w:b/>
          <w:sz w:val="26"/>
          <w:szCs w:val="26"/>
        </w:rPr>
        <w:t>/2013.( I</w:t>
      </w:r>
      <w:r w:rsidR="004B1AA8" w:rsidRPr="00F26EA4">
        <w:rPr>
          <w:rFonts w:ascii="Times New Roman" w:hAnsi="Times New Roman" w:cs="Times New Roman"/>
          <w:b/>
          <w:sz w:val="26"/>
          <w:szCs w:val="26"/>
        </w:rPr>
        <w:t>V</w:t>
      </w:r>
      <w:r w:rsidR="00091B8C" w:rsidRPr="00F26EA4">
        <w:rPr>
          <w:rFonts w:ascii="Times New Roman" w:hAnsi="Times New Roman" w:cs="Times New Roman"/>
          <w:b/>
          <w:sz w:val="26"/>
          <w:szCs w:val="26"/>
        </w:rPr>
        <w:t>.</w:t>
      </w:r>
      <w:r w:rsidR="004B1AA8" w:rsidRPr="00F26EA4">
        <w:rPr>
          <w:rFonts w:ascii="Times New Roman" w:hAnsi="Times New Roman" w:cs="Times New Roman"/>
          <w:b/>
          <w:sz w:val="26"/>
          <w:szCs w:val="26"/>
        </w:rPr>
        <w:t>09.</w:t>
      </w:r>
      <w:r w:rsidR="00091B8C" w:rsidRPr="00F26EA4">
        <w:rPr>
          <w:rFonts w:ascii="Times New Roman" w:hAnsi="Times New Roman" w:cs="Times New Roman"/>
          <w:b/>
          <w:sz w:val="26"/>
          <w:szCs w:val="26"/>
        </w:rPr>
        <w:t>) önkormányzati rendelet</w:t>
      </w:r>
      <w:r w:rsidR="004B1AA8" w:rsidRPr="00F26EA4">
        <w:rPr>
          <w:rFonts w:ascii="Times New Roman" w:hAnsi="Times New Roman" w:cs="Times New Roman"/>
          <w:b/>
          <w:sz w:val="26"/>
          <w:szCs w:val="26"/>
        </w:rPr>
        <w:t>e</w:t>
      </w:r>
    </w:p>
    <w:p w:rsidR="004B1AA8" w:rsidRPr="00F26EA4" w:rsidRDefault="005E0978" w:rsidP="004B1A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6EA4">
        <w:rPr>
          <w:rFonts w:ascii="Times New Roman" w:hAnsi="Times New Roman" w:cs="Times New Roman"/>
          <w:b/>
          <w:sz w:val="26"/>
          <w:szCs w:val="26"/>
        </w:rPr>
        <w:t>az</w:t>
      </w:r>
      <w:proofErr w:type="gramEnd"/>
      <w:r w:rsidRPr="00F26EA4">
        <w:rPr>
          <w:rFonts w:ascii="Times New Roman" w:hAnsi="Times New Roman" w:cs="Times New Roman"/>
          <w:b/>
          <w:sz w:val="26"/>
          <w:szCs w:val="26"/>
        </w:rPr>
        <w:t xml:space="preserve"> Önkormányzat vagyonáról, a vagyonnal való gazdálkodás egyes szabályairól</w:t>
      </w:r>
    </w:p>
    <w:p w:rsidR="004B1AA8" w:rsidRPr="00F26EA4" w:rsidRDefault="004B1AA8" w:rsidP="004B1AA8">
      <w:pPr>
        <w:jc w:val="both"/>
        <w:rPr>
          <w:sz w:val="26"/>
          <w:szCs w:val="26"/>
        </w:rPr>
      </w:pPr>
    </w:p>
    <w:p w:rsidR="004B1AA8" w:rsidRPr="00BC5BD2" w:rsidRDefault="004B1AA8" w:rsidP="004B1AA8">
      <w:pPr>
        <w:jc w:val="both"/>
      </w:pPr>
    </w:p>
    <w:p w:rsidR="004B1AA8" w:rsidRPr="00A641CD" w:rsidRDefault="004B1AA8" w:rsidP="004B1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Borszörcsök</w:t>
      </w:r>
      <w:r w:rsidRPr="00A641CD">
        <w:rPr>
          <w:rFonts w:ascii="Times New Roman" w:hAnsi="Times New Roman" w:cs="Times New Roman"/>
          <w:sz w:val="24"/>
          <w:szCs w:val="24"/>
        </w:rPr>
        <w:t xml:space="preserve"> Község Önkormányzat Képviselő-testülete a </w:t>
      </w:r>
      <w:r>
        <w:rPr>
          <w:rFonts w:ascii="Times New Roman" w:hAnsi="Times New Roman" w:cs="Times New Roman"/>
          <w:sz w:val="24"/>
          <w:szCs w:val="24"/>
        </w:rPr>
        <w:t>Nemzeti vagyonról szóló 2011. évi CXCVI. törvény 18.</w:t>
      </w:r>
      <w:r w:rsidRPr="00A641CD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. (1) bekezdésében</w:t>
      </w:r>
      <w:r w:rsidRPr="00A641CD">
        <w:rPr>
          <w:rFonts w:ascii="Times New Roman" w:hAnsi="Times New Roman" w:cs="Times New Roman"/>
          <w:sz w:val="24"/>
          <w:szCs w:val="24"/>
        </w:rPr>
        <w:t xml:space="preserve"> kapott felhatalmazás alapján, </w:t>
      </w:r>
      <w:proofErr w:type="gramStart"/>
      <w:r w:rsidRPr="00A641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6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Alaptörvény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32. cikk (1) bekezdés a.) és e.) pontjában </w:t>
      </w:r>
      <w:r w:rsidRPr="00A641CD">
        <w:rPr>
          <w:rFonts w:ascii="Times New Roman" w:hAnsi="Times New Roman" w:cs="Times New Roman"/>
          <w:sz w:val="24"/>
          <w:szCs w:val="24"/>
        </w:rPr>
        <w:t xml:space="preserve"> meghatározott feladatkörében eljárva a következőket rendeli el: </w:t>
      </w:r>
    </w:p>
    <w:p w:rsidR="004B1AA8" w:rsidRDefault="004B1AA8" w:rsidP="004B1A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Borszörcsök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(a továbbiakban önkormányzat) vagyonára terjed ki.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rendelet hatálya alá tartozó vagyon tulajdonosi joggyakorlója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Borszörcsök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Képviselő-testülete.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1AA8" w:rsidRPr="005E0978" w:rsidRDefault="004B1AA8" w:rsidP="004B1A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(2) A rendelet hatálya alá tartozó vagyon működtetésének feladatát – ha jogszabály vagy a képviselő-testület döntése alapján kötött szerződés másként nem rendelkezik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látja el.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szerinti feladatellátás során a hasznok szedéséből származó bevételek az önkormányzatot illetik meg.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3B16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hatálya alá tartozó vagyonra vonatkozó ügyekben a képviselő-testületet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167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képviseli.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kizárólagosan jogosult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100.000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 összeghatárt meghaladó, polgári jogi jogviszonyból származó követelés elengedésére, az egy évet meghaladó időtartamú részletfizetés vagy fizetési halasztás engedélyezésére és ehhez kapcsolódóan a kamat illetve költség címén fennálló követelések elengedésére.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az alább felsorolt tulajdonosi, jogok és kötelezettségek tulajdonosi joggyakorlására a polgármestert hatalmazza fel: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szövegszerűen elfogadott szerződések aláírása;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szerződéskötésről szóló döntése alapján, amennyiben a testület a szerződést nem szövegszerűen fogadta el, az önkormányzati határozat keretei között a szerződés szövegének megállapítása, elfogadása, a szerződés aláírása;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CC17E4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igények érvényesítése, az önkormányzat jogvédelme érdekében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7E4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közigazgatási, peres, vagy nem peres eljárás megindítása;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közművezetékek elhelyezése céljára vezetékjogot, szolgalmi jogot, vagy közérdekű használati jogot biztosító szerződések megkötése, feltéve, hogy e jogok biztosítása nem eredményez változást, vagy korlátozást az érintett ingatlanok településrendezési terv szerinti felhasználhatóságában;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önkormányzat, mint jogosult javára vezeték-, szolgalmi- és használati jogot biztosító szerződések megkötése nettó 100.000 Ft értékhatárig;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szerződéskötés a nem beépíthető, önállóan gazdaságos módon nem használható földrészletek hasznosítására maximum 5 évre, azzal a kikötéssel, hogy azt közösségi célú igénybevétel esetén a használó azonnali hatállyal kártalanítási igény nélkül köteles az Önkormányzat rendelkezésére bocsátani. A földterületen évelő növényeket és ültetvényt csak a bérbeadó előzetes hozzájárulásával lehet telepíteni. 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100.000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 összeghatárt nem meghaladó, polgári jogi jogviszonyból származó követelés elengedésére, az egy év időtartamon belüli részletfizetés vagy fizetési halasztás engedélyezésére és ehhez kapcsolódóan a kamat illetve költség címén fennálló követelések elengedésére.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alá tartozó vagyonra vonatkozó döntési javaslatot a polgármester terjeszti a képviselő-testület elé.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 Amennyiben a rendelet a vagyonnal való rendelkezést értékhatárhoz köti, az értékhatár megállapításánál a vagyontárgy nyilvántartás szerinti bruttó értékéből kell kiindulni.</w:t>
      </w:r>
    </w:p>
    <w:p w:rsidR="004B1AA8" w:rsidRPr="005E0978" w:rsidRDefault="004B1AA8" w:rsidP="004B1A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törzsvagyonra vonatkozó rendelkezések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(1)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forgalomképtelen törzsvagyona körébe tartozó az önkormányzat kizárólagos tulajdonát képező ne</w:t>
      </w:r>
      <w:r w:rsidR="00D24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mzeti vagyont a rendelet 1.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tartalmazza.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   (2) Nemzetgazdasági szempontból kiemelt jelentőségű nemzeti vagyont a képviselő-testület nem határoz meg.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BA066C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forgalomképtelennek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minősülő, a rendelet szerint korlátozottan forgalomképes in</w:t>
      </w:r>
      <w:r w:rsidR="00D246BA">
        <w:rPr>
          <w:rFonts w:ascii="Times New Roman" w:eastAsia="Times New Roman" w:hAnsi="Times New Roman" w:cs="Times New Roman"/>
          <w:sz w:val="24"/>
          <w:szCs w:val="24"/>
          <w:lang w:eastAsia="hu-HU"/>
        </w:rPr>
        <w:t>gatlan vagyont a rendelet 2.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 tartalmazza.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)A korlátozottan forgalomképes vagyonelemek hasznosítása rendeltetésük sérelmét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eredményezheti, elidegenítésükre e rendelet keretei között akkor van lehetőség, ha a vagyonelem a közfeladat ellátásához feleslegessé válik vagy megszűnik a közfeladat ellátásának kötelezettsége, amelyre tekintettel jogszabály vagy a tulajdonosi joggyakorló a vagyonelem korlátozott forgalomképességét megállapította.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 tényállás megállapítása a képviselő-testület kizárólagos hatáskörébe tartozik.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CD67DB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D6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CD67D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törzsvagyon körébe tartozó vagyonelemek használói kötelesek a tőlük elvárható gondossággal eljárni a használat, illetve üzemeltetés során, e kötelezettség teljesítéséért a használó intézmények, illetve gazdasági társaságok vezetői felelnek.</w:t>
      </w:r>
    </w:p>
    <w:p w:rsidR="004B1AA8" w:rsidRPr="00CD67DB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CD67DB" w:rsidRDefault="004B1AA8" w:rsidP="004B1A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066C">
        <w:rPr>
          <w:b/>
          <w:bCs/>
        </w:rPr>
        <w:t xml:space="preserve">§ </w:t>
      </w:r>
      <w:r w:rsidRPr="00BA066C">
        <w:t>Üzleti vagyon mindazon önkormányzati tulajdonban álló vagyonelem, amely nem tartozik e rendelet 6.§ (1) és a 7.§ (1) bekezdésében meghatározott törzsvagyon körébe.</w:t>
      </w:r>
      <w:r>
        <w:t xml:space="preserve"> </w:t>
      </w:r>
      <w:r w:rsidRPr="00CD67DB">
        <w:t>Különösen az önkormányzat tulajdonában lévő:</w:t>
      </w:r>
    </w:p>
    <w:p w:rsidR="004B1AA8" w:rsidRPr="00CD67DB" w:rsidRDefault="004B1AA8" w:rsidP="004B1AA8">
      <w:pPr>
        <w:pStyle w:val="Listaszerbekezds"/>
        <w:autoSpaceDE w:val="0"/>
        <w:autoSpaceDN w:val="0"/>
        <w:adjustRightInd w:val="0"/>
        <w:ind w:left="720"/>
        <w:jc w:val="both"/>
      </w:pPr>
      <w:proofErr w:type="gramStart"/>
      <w:r w:rsidRPr="00CD67DB">
        <w:t>a</w:t>
      </w:r>
      <w:proofErr w:type="gramEnd"/>
      <w:r w:rsidRPr="00CD67DB">
        <w:t xml:space="preserve">.) lakások, </w:t>
      </w:r>
    </w:p>
    <w:p w:rsidR="004B1AA8" w:rsidRPr="00CD67DB" w:rsidRDefault="004B1AA8" w:rsidP="004B1AA8">
      <w:pPr>
        <w:pStyle w:val="Listaszerbekezds"/>
        <w:autoSpaceDE w:val="0"/>
        <w:autoSpaceDN w:val="0"/>
        <w:adjustRightInd w:val="0"/>
        <w:ind w:left="720"/>
        <w:jc w:val="both"/>
      </w:pPr>
      <w:r w:rsidRPr="00CD67DB">
        <w:t>b.) bel-és külterületi beépítetlen ingatlanok,</w:t>
      </w:r>
    </w:p>
    <w:p w:rsidR="004B1AA8" w:rsidRDefault="004B1AA8" w:rsidP="00CD67DB">
      <w:pPr>
        <w:pStyle w:val="Listaszerbekezds"/>
        <w:autoSpaceDE w:val="0"/>
        <w:autoSpaceDN w:val="0"/>
        <w:adjustRightInd w:val="0"/>
        <w:ind w:left="720"/>
        <w:jc w:val="both"/>
      </w:pPr>
      <w:proofErr w:type="gramStart"/>
      <w:r w:rsidRPr="00CD67DB">
        <w:t>c.</w:t>
      </w:r>
      <w:proofErr w:type="gramEnd"/>
      <w:r w:rsidRPr="00CD67DB">
        <w:t>) nem lakás céljára szolgáló helyiségek, egyéb ingóságok</w:t>
      </w:r>
    </w:p>
    <w:p w:rsidR="00CD67DB" w:rsidRDefault="00CD67DB" w:rsidP="00CD67DB">
      <w:pPr>
        <w:pStyle w:val="Listaszerbekezds"/>
        <w:autoSpaceDE w:val="0"/>
        <w:autoSpaceDN w:val="0"/>
        <w:adjustRightInd w:val="0"/>
        <w:ind w:left="720"/>
        <w:jc w:val="both"/>
      </w:pPr>
    </w:p>
    <w:p w:rsidR="004B1AA8" w:rsidRPr="004B1AA8" w:rsidRDefault="004B1AA8" w:rsidP="004B1A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B1AA8">
        <w:rPr>
          <w:color w:val="000000" w:themeColor="text1"/>
        </w:rPr>
        <w:t xml:space="preserve"> </w:t>
      </w:r>
      <w:r w:rsidRPr="004B1AA8">
        <w:rPr>
          <w:b/>
          <w:color w:val="000000" w:themeColor="text1"/>
        </w:rPr>
        <w:t xml:space="preserve">§. </w:t>
      </w:r>
      <w:r w:rsidRPr="004B1AA8">
        <w:rPr>
          <w:color w:val="000000" w:themeColor="text1"/>
        </w:rPr>
        <w:t>Az önkormányzat üzleti vagyonába tartozó va</w:t>
      </w:r>
      <w:r w:rsidR="00D246BA">
        <w:rPr>
          <w:color w:val="000000" w:themeColor="text1"/>
        </w:rPr>
        <w:t xml:space="preserve">gyonelemeket a rendelet 3. </w:t>
      </w:r>
      <w:r w:rsidRPr="004B1AA8">
        <w:rPr>
          <w:color w:val="000000" w:themeColor="text1"/>
        </w:rPr>
        <w:t>melléklete tartalmazza</w:t>
      </w: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EA4" w:rsidRPr="00BA066C" w:rsidRDefault="00F26EA4" w:rsidP="004B1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vagyonkezelés szabályai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4</w:t>
      </w:r>
      <w:r w:rsidR="00D24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tartalmazza azokat a vagyonelemeket, amelyekre önkormányzati közfeladat ellátásához kapcsolódóan vagyonkezelői jog létesíthető és kijelöli a vagyonkezelőket.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DB67F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vagyonkezelői jog létesítéséért a nemzeti vagyonról szóló 2011. évi CXCVI.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 </w:t>
      </w:r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§ (1) bekezdés 19. b) pontjának </w:t>
      </w:r>
      <w:proofErr w:type="spellStart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DB67F8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be) alpontjaiban nevesített vagyonkezelők kötelesek a vagyonkezelői szerződés időtartama alatt évente ellenértéket fizetni.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vagyonkezelői jog ingyenes átengedésére a nemzeti vag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yonról szóló 2011. évi CXCVI. törvény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3. § (1) bekezdés 19. b) pontjának </w:t>
      </w:r>
      <w:proofErr w:type="spellStart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alpontjaiban nevesített vagyonkezelők esetében kerülhet sor.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vagyonkezelők kötelesek az önkormányzat törzsvagyona körébe tartozó ingatlanok állagmegőrzéséről, felújításáról, korszerűsítéséről folyamatosan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gondoskodni, e feladata kapcsán a képviselő-testület éves költségvetésében dönt a tárgyévi feladatokról és azok megvalósításának forrásairól.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foglalt rendelkezés alkalmazása során a feladatok tervezéséhez meg kell kérni a vagyonkezelő szervezetek vezetőinek véleményét, melyek figyelembevételével a vagyon állagmegóvását, felújítását, illetve korszerűsítését célzó éves feladattervet kell meghatározni.</w:t>
      </w: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vagyonkezelők kötelesek a tőlük elvárható gondossággal eljárni a kezelt vagyon működtetése során, e kötelezettség teljesítéséért a vagyonkezelő szervezetek vezetői felelnek.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E765A3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vagyonkezelés ellenőrzésének keretében a vagyonkezelő köteles évközi beszámolásra, adatszolgáltatásra, adatszolgáltatási kötelezettsége az önkormányzat jogszabályokban előírt beszámolási, adatszolgáltatási kötelezettségéhez kapcsolódik.</w:t>
      </w: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  <w:r w:rsidR="000073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fejezet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hasznosítás szabályai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="00F26EA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nettó 2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forint értékhatárt meghaladó vagyonelemet – ha törvény kivételt nem tesz - c</w:t>
      </w:r>
      <w:r w:rsidR="000073E0">
        <w:rPr>
          <w:rFonts w:ascii="Times New Roman" w:eastAsia="Times New Roman" w:hAnsi="Times New Roman" w:cs="Times New Roman"/>
          <w:sz w:val="24"/>
          <w:szCs w:val="24"/>
          <w:lang w:eastAsia="hu-HU"/>
        </w:rPr>
        <w:t>sak versenyeztetés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útján, az összességében legelőnyösebb ajánlatot tevő részére, a szolgáltatás és ellenszolgáltatás értékarányosságával lehet hasznosítani.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hatálya alá tartozó vagyonelemeket a képviselő-testület határozattal jelöli ki hasznosításra az alábbi tartalommal:</w:t>
      </w:r>
    </w:p>
    <w:p w:rsidR="004B1AA8" w:rsidRPr="00D246BA" w:rsidRDefault="004B1AA8" w:rsidP="00D246B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46BA">
        <w:t>a vagyonelem megnevezése, ingatlan esetén helyrajzi számának megjelölése,</w:t>
      </w:r>
    </w:p>
    <w:p w:rsidR="004B1AA8" w:rsidRPr="005E0978" w:rsidRDefault="004B1AA8" w:rsidP="004B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értékének megjelölése,</w:t>
      </w:r>
    </w:p>
    <w:p w:rsidR="004B1AA8" w:rsidRPr="005E0978" w:rsidRDefault="004B1AA8" w:rsidP="004B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hasznosítás módja,</w:t>
      </w:r>
    </w:p>
    <w:p w:rsidR="004B1AA8" w:rsidRPr="005E0978" w:rsidRDefault="004B1AA8" w:rsidP="004B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feltételek meghatározása.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bekezdésben foglalt értékhatárt nem meghaladó vagyonelem hasznosítását,</w:t>
      </w:r>
    </w:p>
    <w:p w:rsidR="004B1AA8" w:rsidRPr="00E765A3" w:rsidRDefault="004B1AA8" w:rsidP="004B1A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vagy a képviselő-testületnek a hasznosításról rendelkező határozata másként nem rendelkezik, versenyeztetni nem kell, azonban a hasznosítási lehetőséget nyilvánosan közzé kell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enni az önkormányzat weblapján.</w:t>
      </w: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E765A3" w:rsidRDefault="004B1AA8" w:rsidP="004B1AA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</w:rPr>
      </w:pPr>
      <w:r w:rsidRPr="00E765A3">
        <w:rPr>
          <w:b/>
          <w:bCs/>
        </w:rPr>
        <w:t>fejezet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 átruházásának szabályai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E765A3" w:rsidRDefault="004B1AA8" w:rsidP="004B1A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 w:rsidRPr="00E765A3">
        <w:rPr>
          <w:b/>
          <w:bCs/>
        </w:rPr>
        <w:t xml:space="preserve">§ </w:t>
      </w:r>
      <w:r w:rsidRPr="00E765A3">
        <w:t>A rendelet hatálya alá tartozó vagyonelemeket a képviselő-testület határozattal jelöli ki értékesítésre vagy cserére az alábbi tartalommal:</w:t>
      </w:r>
    </w:p>
    <w:p w:rsidR="004B1AA8" w:rsidRPr="00D246BA" w:rsidRDefault="004B1AA8" w:rsidP="00D246B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</w:pPr>
      <w:r w:rsidRPr="00D246BA">
        <w:t>a vagyonelem megnevezése, ingatlan esetén helyrajzi számának megjelölése,</w:t>
      </w:r>
    </w:p>
    <w:p w:rsidR="004B1AA8" w:rsidRPr="005E0978" w:rsidRDefault="004B1AA8" w:rsidP="004B1A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értékének megjelölése,</w:t>
      </w:r>
    </w:p>
    <w:p w:rsidR="004B1AA8" w:rsidRPr="005E0978" w:rsidRDefault="004B1AA8" w:rsidP="004B1A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átruházás módja,</w:t>
      </w:r>
    </w:p>
    <w:p w:rsidR="004B1AA8" w:rsidRPr="005E0978" w:rsidRDefault="004B1AA8" w:rsidP="004B1A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esetén a pályázati feltételek meghatározása,</w:t>
      </w:r>
    </w:p>
    <w:p w:rsidR="004B1AA8" w:rsidRPr="005E0978" w:rsidRDefault="004B1AA8" w:rsidP="004B1A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árverés esetén az árverésre bocsátás szándékának kinyilvánítása,</w:t>
      </w:r>
    </w:p>
    <w:p w:rsidR="004B1AA8" w:rsidRPr="005E0978" w:rsidRDefault="004B1AA8" w:rsidP="004B1A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csere esetén a csere célja, csereügylet keretében átruházandó és megszerzendő vagyontárgyak megjelölése, forgalmi értéke.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nettó </w:t>
      </w:r>
      <w:r w:rsidR="00F26EA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forint értékhatárt meghaladó vagyonelemeket – ha törvény kivételt nem tesz – csak versenyeztetés útján, az összességében legelőnyösebb ajánlatot tevő részére, a szolgáltatás és ellenszolgáltatás értékarányosságával lehet értékesíteni.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(2)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foglalt értékhatárt nem meghaladó értékű vagyonelem, ha jogszabály másként nem rendelkezik, a képviselő-testületnek az értékesítésről szóló határozata alapján nyilvános meghirdetés útján értékesíthető.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Településrendezési terv végrehajtását célzó, nem önálló ingatlanként nyilvántartott földrészlet értékesítése, vagy cseréje esetén árverés vagy nyilvános meghirdetés nélkül kell a szerződést megkötni, a forgalmi érték vagy a számviteli nyilvántartás szerinti érték megjelölésével.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tulajdonközösség megszüntetése érdekében kötendő önkormányzati tulajdonú ingatlan tulajdoni hányadrészének tulajdonostárs általi megváltása esetén a forgalmi érték megjelölésével kell a szerződést megkötni.</w:t>
      </w:r>
    </w:p>
    <w:p w:rsidR="004B1AA8" w:rsidRPr="005E0978" w:rsidRDefault="004B1AA8" w:rsidP="004B1AA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vagyonszerzés szabályai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önkormányzati vagyon gyarapításáról a polgármester javaslata alapján a képviselő-testület dönt.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vagyongyarapításról a képviselő-testület határozattal dönt, az alábbi tartalommal:</w:t>
      </w:r>
    </w:p>
    <w:p w:rsidR="004B1AA8" w:rsidRPr="00D246BA" w:rsidRDefault="004B1AA8" w:rsidP="00D246B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</w:pPr>
      <w:r w:rsidRPr="00D246BA">
        <w:t>a vagyonelem megnevezése, ingatlan esetén helyrajzi számának megjelölése,</w:t>
      </w:r>
    </w:p>
    <w:p w:rsidR="004B1AA8" w:rsidRPr="005E0978" w:rsidRDefault="004B1AA8" w:rsidP="004B1A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értékének megjelölése,</w:t>
      </w:r>
    </w:p>
    <w:p w:rsidR="004B1AA8" w:rsidRPr="005E0978" w:rsidRDefault="004B1AA8" w:rsidP="004B1A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módja,</w:t>
      </w:r>
    </w:p>
    <w:p w:rsidR="004B1AA8" w:rsidRPr="005E0978" w:rsidRDefault="004B1AA8" w:rsidP="004B1A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vállalt fizetési feltételek,</w:t>
      </w:r>
    </w:p>
    <w:p w:rsidR="004B1AA8" w:rsidRDefault="004B1AA8" w:rsidP="004B1A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ajánlati kötöttségének időtartama.</w:t>
      </w:r>
    </w:p>
    <w:p w:rsidR="00D246BA" w:rsidRPr="005E0978" w:rsidRDefault="00D246BA" w:rsidP="00D246B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Ingatlantulajdon megszerzése esetén a döntés előkészítése során vizsgálni kell, hogy az ingatlan megszerzése milyen önkormányzati célok megvalósításához és milyen feltételek mellett alkalmas, fel kell tárni a továbbhasznosítási lehetőségeit, illetve a várható üzemeltetési költségek körét és nagyságát is.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Önkormányzati tulajdonszerzést megelőzően a vagyontárgyról forgalmi értékbecslést kell készíttetni.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törvény által előírt, vagy önként vállalt feladata ellátásához ingatlant bérelhet, albérletbe vehet, vagy használatba, egyéb módon hasznosításra átvehet, erről a képviselő-testület a polgármester javaslata alapján hoz döntést.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Beszámolás a vagyoni helyzet alakulásáról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4B1AA8" w:rsidRPr="005E0978" w:rsidRDefault="004B1AA8" w:rsidP="004B1A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§</w:t>
      </w:r>
      <w:r w:rsidRPr="005E097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(1)</w:t>
      </w:r>
      <w:r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Önkormányzat költségvetésének végrehajtásáról szóló (zárszámadás) rendeletben minden évben be kell mutatni</w:t>
      </w:r>
    </w:p>
    <w:p w:rsidR="004B1AA8" w:rsidRPr="005E0978" w:rsidRDefault="00D246BA" w:rsidP="00D246B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.) </w:t>
      </w:r>
      <w:r w:rsidR="004B1AA8"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vagyonmérleget</w:t>
      </w:r>
    </w:p>
    <w:p w:rsidR="004B1AA8" w:rsidRPr="005E0978" w:rsidRDefault="00D246BA" w:rsidP="004B1AA8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</w:t>
      </w:r>
      <w:r w:rsidR="004B1AA8"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</w:t>
      </w:r>
      <w:proofErr w:type="gramEnd"/>
      <w:r w:rsidR="004B1AA8"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immateriális javak és tárgyi eszközök állományának alakulását</w:t>
      </w:r>
    </w:p>
    <w:p w:rsidR="004B1AA8" w:rsidRPr="005E0978" w:rsidRDefault="00D246BA" w:rsidP="004B1AA8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</w:t>
      </w:r>
      <w:r w:rsidR="004B1AA8"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december 31. napi állapot szerinti vagyonleltárt.</w:t>
      </w:r>
    </w:p>
    <w:p w:rsidR="004B1AA8" w:rsidRPr="005E0978" w:rsidRDefault="004B1AA8" w:rsidP="004B1AA8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B1AA8" w:rsidRPr="005E0978" w:rsidRDefault="004B1AA8" w:rsidP="004B1AA8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0"/>
          <w:lang w:eastAsia="hu-HU"/>
        </w:rPr>
        <w:t>(2) A polgármester a zárszámadási rendelet beterjesztésével egyidejűleg a költségvetés végrehajtásáról szóló beszámolóban tájékoztatja a képviselő-testületet a vagyoni helyzet alakulásáról.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B1AA8" w:rsidRPr="00CD67DB" w:rsidRDefault="004B1AA8" w:rsidP="004B1AA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67D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§ </w:t>
      </w:r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vagyonleltár az önkormányzati vagyont törzsvagyon – ezen belül forgalomképtelen és korlátozottan forgalomképes – valamint üzleti </w:t>
      </w:r>
      <w:proofErr w:type="gramStart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vagyon bontásban</w:t>
      </w:r>
      <w:proofErr w:type="gramEnd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tartalmazza azzal, hogy az egyes vagyoncsoportokon belül </w:t>
      </w:r>
    </w:p>
    <w:p w:rsidR="004B1AA8" w:rsidRPr="00CD67DB" w:rsidRDefault="004B1AA8" w:rsidP="004B1AA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) az ingatlanok közül a helyi közutakat és műtárgyaikat, vizek és vízi közműnek nem minősülő közcélú vízi létesítményeket összesített mérleg szerinti értékben,</w:t>
      </w:r>
    </w:p>
    <w:p w:rsidR="004B1AA8" w:rsidRPr="00CD67DB" w:rsidRDefault="004B1AA8" w:rsidP="004B1AA8">
      <w:pPr>
        <w:widowControl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b) az a) pontban nem szereplő ingatlanokat tételesen,</w:t>
      </w:r>
    </w:p>
    <w:p w:rsidR="004B1AA8" w:rsidRPr="00CD67DB" w:rsidRDefault="004B1AA8" w:rsidP="004B1AA8">
      <w:pPr>
        <w:widowControl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c) az ingatlanokhoz kapcsolódó vagyoni értékű jogokat tételesen</w:t>
      </w:r>
    </w:p>
    <w:p w:rsidR="004B1AA8" w:rsidRPr="00CD67DB" w:rsidRDefault="004B1AA8" w:rsidP="004B1AA8">
      <w:pPr>
        <w:widowControl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d) a c) pontban nem szereplő immateriális javakat vagyonkezelőnként összesített mérleg szerinti értékben,</w:t>
      </w:r>
    </w:p>
    <w:p w:rsidR="004B1AA8" w:rsidRPr="00CD67DB" w:rsidRDefault="004B1AA8" w:rsidP="004B1AA8">
      <w:pPr>
        <w:widowControl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e</w:t>
      </w:r>
      <w:proofErr w:type="gramEnd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) az ingó vagyontárgyakat vagyonkezelőnként összesített mérleg szerinti értékben,</w:t>
      </w:r>
    </w:p>
    <w:p w:rsidR="004B1AA8" w:rsidRPr="00CD67DB" w:rsidRDefault="004B1AA8" w:rsidP="004B1AA8">
      <w:pPr>
        <w:widowControl w:val="0"/>
        <w:spacing w:after="0" w:line="240" w:lineRule="auto"/>
        <w:ind w:left="714" w:hanging="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>f</w:t>
      </w:r>
      <w:proofErr w:type="gramEnd"/>
      <w:r w:rsidRPr="00CD6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részesedéseket, értékpapírokat, adott kölcsönöket – ha jogszabály eltérően nem rendelkezik – tételesen és névértéken tartalmazza. </w:t>
      </w:r>
    </w:p>
    <w:p w:rsidR="004B1AA8" w:rsidRPr="00CD67DB" w:rsidRDefault="004B1AA8" w:rsidP="004B1A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4B1AA8" w:rsidRPr="005E0978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B1AA8" w:rsidRPr="00CC1FD5" w:rsidRDefault="004B1AA8" w:rsidP="004B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Záró rendelkezések</w:t>
      </w: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1AA8" w:rsidRPr="005E0978" w:rsidRDefault="004B1AA8" w:rsidP="004B1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§.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mellékletei:</w:t>
      </w:r>
    </w:p>
    <w:p w:rsidR="004B1AA8" w:rsidRPr="00984D80" w:rsidRDefault="00984D80" w:rsidP="00984D8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84D80">
        <w:t>1.</w:t>
      </w:r>
      <w:r w:rsidR="004B1AA8" w:rsidRPr="00984D80">
        <w:t xml:space="preserve"> melléklet: Az önkormányzat forgalomképtelen törzsvagyona körébe tartozó az önkormányzat kizárólagos tulajdonát képező nemzeti vagyon</w:t>
      </w:r>
    </w:p>
    <w:p w:rsidR="004B1AA8" w:rsidRPr="00984D80" w:rsidRDefault="00984D80" w:rsidP="00984D8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84D80">
        <w:t xml:space="preserve">2. </w:t>
      </w:r>
      <w:r w:rsidR="004B1AA8" w:rsidRPr="00984D80">
        <w:t>melléklet: Az önkormányzat korlátozottan forgalomképes ingatlan vagyona.</w:t>
      </w:r>
    </w:p>
    <w:p w:rsidR="004B1AA8" w:rsidRPr="005E0978" w:rsidRDefault="00984D80" w:rsidP="00984D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4B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melléklet: Az </w:t>
      </w:r>
      <w:r w:rsidR="004B1AA8" w:rsidRPr="000E4B02">
        <w:rPr>
          <w:rFonts w:ascii="Times New Roman" w:hAnsi="Times New Roman" w:cs="Times New Roman"/>
        </w:rPr>
        <w:t xml:space="preserve">önkormányzat üzleti </w:t>
      </w:r>
      <w:r w:rsidR="004B1AA8">
        <w:rPr>
          <w:rFonts w:ascii="Times New Roman" w:hAnsi="Times New Roman" w:cs="Times New Roman"/>
        </w:rPr>
        <w:t>vagyonába tartozó vagyonelemek</w:t>
      </w:r>
    </w:p>
    <w:p w:rsidR="004B1AA8" w:rsidRPr="005E0978" w:rsidRDefault="004B1AA8" w:rsidP="00984D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melléklet: A vagyonkezelésbe adható vagyonelemek</w:t>
      </w:r>
    </w:p>
    <w:p w:rsidR="004B1AA8" w:rsidRDefault="004B1AA8" w:rsidP="004B1AA8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0E4B02" w:rsidRDefault="004B1AA8" w:rsidP="004B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AA8" w:rsidRPr="00CC1FD5" w:rsidRDefault="004B1AA8" w:rsidP="00984D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C1FD5">
        <w:rPr>
          <w:rFonts w:eastAsia="Calibri"/>
          <w:bCs/>
        </w:rPr>
        <w:t>§</w:t>
      </w:r>
      <w:r w:rsidRPr="00CC1FD5">
        <w:rPr>
          <w:rFonts w:eastAsia="Calibri"/>
          <w:b/>
          <w:bCs/>
        </w:rPr>
        <w:t xml:space="preserve"> </w:t>
      </w:r>
      <w:r w:rsidRPr="00CC1FD5">
        <w:rPr>
          <w:rFonts w:eastAsia="Calibri"/>
        </w:rPr>
        <w:t xml:space="preserve">(1) Ez a rendelet </w:t>
      </w:r>
      <w:r>
        <w:rPr>
          <w:rFonts w:eastAsia="Calibri"/>
        </w:rPr>
        <w:t>a kihirdetést követő napon</w:t>
      </w:r>
      <w:r w:rsidRPr="00CC1FD5">
        <w:rPr>
          <w:rFonts w:eastAsia="Calibri"/>
        </w:rPr>
        <w:t xml:space="preserve"> lép hatályba, rendelkezései azonban nem érintik a hatálybalépés előtt megkötött jogügyletek, szerződések érvényességét. </w:t>
      </w:r>
    </w:p>
    <w:p w:rsidR="007331F1" w:rsidRPr="00CC1FD5" w:rsidRDefault="007331F1" w:rsidP="007331F1">
      <w:pPr>
        <w:pStyle w:val="Listaszerbekezds"/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CC1FD5" w:rsidRPr="00CC1FD5" w:rsidRDefault="00CC1FD5" w:rsidP="00984D8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</w:rPr>
        <w:t xml:space="preserve">§ </w:t>
      </w:r>
      <w:r w:rsidRPr="00CC1FD5">
        <w:rPr>
          <w:rFonts w:eastAsia="Calibri"/>
          <w:bCs/>
        </w:rPr>
        <w:t>E rendelet hatálybalépése napján</w:t>
      </w:r>
      <w:r w:rsidRPr="00CC1FD5">
        <w:rPr>
          <w:rFonts w:eastAsia="Calibri"/>
          <w:b/>
          <w:bCs/>
        </w:rPr>
        <w:t xml:space="preserve"> </w:t>
      </w:r>
      <w:r w:rsidRPr="00CC1FD5">
        <w:rPr>
          <w:rFonts w:eastAsia="Calibri"/>
        </w:rPr>
        <w:t>hatályát veszti az Önkormány</w:t>
      </w:r>
      <w:r w:rsidR="007331F1">
        <w:rPr>
          <w:rFonts w:eastAsia="Calibri"/>
        </w:rPr>
        <w:t xml:space="preserve">zat vagyonáról </w:t>
      </w:r>
      <w:r w:rsidRPr="00CC1FD5">
        <w:rPr>
          <w:rFonts w:eastAsia="Calibri"/>
        </w:rPr>
        <w:t xml:space="preserve">szóló </w:t>
      </w:r>
      <w:r w:rsidR="007331F1">
        <w:rPr>
          <w:rFonts w:eastAsia="Calibri"/>
          <w:color w:val="000000"/>
        </w:rPr>
        <w:t>11/2004</w:t>
      </w:r>
      <w:r w:rsidRPr="00CC1FD5">
        <w:rPr>
          <w:rFonts w:eastAsia="Calibri"/>
          <w:color w:val="000000"/>
        </w:rPr>
        <w:t>./VI</w:t>
      </w:r>
      <w:r w:rsidR="007331F1">
        <w:rPr>
          <w:rFonts w:eastAsia="Calibri"/>
          <w:color w:val="000000"/>
        </w:rPr>
        <w:t>I. 8</w:t>
      </w:r>
      <w:r w:rsidRPr="00CC1FD5">
        <w:rPr>
          <w:rFonts w:eastAsia="Calibri"/>
          <w:color w:val="000000"/>
        </w:rPr>
        <w:t>./</w:t>
      </w:r>
      <w:r w:rsidRPr="00CC1FD5">
        <w:rPr>
          <w:rFonts w:ascii="Arial" w:eastAsia="Calibri" w:hAnsi="Arial" w:cs="Arial"/>
          <w:color w:val="000000"/>
        </w:rPr>
        <w:t xml:space="preserve"> </w:t>
      </w:r>
      <w:r w:rsidR="007331F1">
        <w:rPr>
          <w:rFonts w:eastAsia="Calibri"/>
        </w:rPr>
        <w:t xml:space="preserve">önkormányzati rendelet, valamint </w:t>
      </w:r>
      <w:proofErr w:type="gramStart"/>
      <w:r w:rsidR="007331F1">
        <w:rPr>
          <w:rFonts w:eastAsia="Calibri"/>
        </w:rPr>
        <w:t>ezen</w:t>
      </w:r>
      <w:proofErr w:type="gramEnd"/>
      <w:r w:rsidR="007331F1">
        <w:rPr>
          <w:rFonts w:eastAsia="Calibri"/>
        </w:rPr>
        <w:t xml:space="preserve"> rendeletet módosító </w:t>
      </w:r>
      <w:r w:rsidR="00E3363F">
        <w:rPr>
          <w:rFonts w:eastAsia="Calibri"/>
        </w:rPr>
        <w:t xml:space="preserve">18/2004.(VIII.31.), </w:t>
      </w:r>
      <w:r w:rsidR="007331F1">
        <w:rPr>
          <w:rFonts w:eastAsia="Calibri"/>
        </w:rPr>
        <w:t xml:space="preserve">17/2005.(X.28.), 10/2007.(IV.27), 13/2007.(VI.15), </w:t>
      </w:r>
      <w:r w:rsidR="00E3363F">
        <w:rPr>
          <w:rFonts w:eastAsia="Calibri"/>
        </w:rPr>
        <w:t>18/2007.(XII.18.), 4/2008.(II.12.) rendeletek.</w:t>
      </w:r>
    </w:p>
    <w:p w:rsid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63F" w:rsidRPr="00CC1FD5" w:rsidRDefault="00E3363F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E3363F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Borszörcsök</w:t>
      </w:r>
      <w:r w:rsidR="00CD67DB">
        <w:rPr>
          <w:rFonts w:ascii="Times New Roman" w:eastAsia="Calibri" w:hAnsi="Times New Roman" w:cs="Times New Roman"/>
          <w:sz w:val="24"/>
          <w:szCs w:val="24"/>
        </w:rPr>
        <w:t>, 2013. április 02.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="00E3363F">
        <w:rPr>
          <w:rFonts w:ascii="Times New Roman" w:eastAsia="Calibri" w:hAnsi="Times New Roman" w:cs="Times New Roman"/>
          <w:sz w:val="24"/>
          <w:szCs w:val="24"/>
        </w:rPr>
        <w:t>Modori</w:t>
      </w:r>
      <w:r w:rsidRPr="00CC1FD5">
        <w:rPr>
          <w:rFonts w:ascii="Times New Roman" w:eastAsia="Calibri" w:hAnsi="Times New Roman" w:cs="Times New Roman"/>
          <w:sz w:val="24"/>
          <w:szCs w:val="24"/>
        </w:rPr>
        <w:t xml:space="preserve"> László</w:t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  <w:t>Szlottáné Turi Edina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C1FD5"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="00E3363F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>jegyző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63F" w:rsidRDefault="00E3363F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63F" w:rsidRPr="00CC1FD5" w:rsidRDefault="00E3363F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sz w:val="24"/>
          <w:szCs w:val="24"/>
        </w:rPr>
        <w:t>Kihirdetve: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F26EA4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Borszörcsök</w:t>
      </w:r>
      <w:r w:rsidR="00CC1FD5" w:rsidRPr="00CC1FD5">
        <w:rPr>
          <w:rFonts w:ascii="Times New Roman" w:eastAsia="Calibri" w:hAnsi="Times New Roman" w:cs="Times New Roman"/>
          <w:sz w:val="24"/>
          <w:szCs w:val="24"/>
        </w:rPr>
        <w:t xml:space="preserve">, 2013. </w:t>
      </w:r>
      <w:r>
        <w:rPr>
          <w:rFonts w:ascii="Times New Roman" w:eastAsia="Calibri" w:hAnsi="Times New Roman" w:cs="Times New Roman"/>
          <w:sz w:val="24"/>
          <w:szCs w:val="24"/>
        </w:rPr>
        <w:t>április 9.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  <w:t>Szlottáné Turi Edina</w:t>
      </w:r>
    </w:p>
    <w:p w:rsidR="00CC1FD5" w:rsidRPr="00CC1FD5" w:rsidRDefault="00CC1FD5" w:rsidP="00CC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r w:rsidRPr="00CC1FD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C1FD5"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CC1FD5" w:rsidRPr="00CC1FD5" w:rsidRDefault="00CC1FD5" w:rsidP="00CC1F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3363F" w:rsidRDefault="00E3363F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984D80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melléklet </w:t>
      </w:r>
      <w:proofErr w:type="gram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3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5/2013.</w:t>
      </w:r>
      <w:r w:rsidR="00F26E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(IV.09.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5E0978" w:rsidRPr="005E0978" w:rsidRDefault="005E0978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978" w:rsidRPr="005E0978" w:rsidRDefault="005E0978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978" w:rsidRDefault="005E0978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forgalomképtelen törzsvagyona körébe tartozó az önkormányzat kizárólagos tulajdonát képező nemzeti vagyon</w:t>
      </w:r>
    </w:p>
    <w:p w:rsidR="00F26EA4" w:rsidRPr="005E0978" w:rsidRDefault="00F26EA4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3"/>
        <w:gridCol w:w="855"/>
        <w:gridCol w:w="2160"/>
        <w:gridCol w:w="1620"/>
        <w:gridCol w:w="720"/>
        <w:gridCol w:w="3318"/>
      </w:tblGrid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Hrsz.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Utca, házszám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Terület (m2)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Építmények felsorolása, egyéb megjegyzés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Járda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Járda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Buszváró és buszforduló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 xml:space="preserve">Buszváró és </w:t>
            </w:r>
            <w:proofErr w:type="spellStart"/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buszford</w:t>
            </w:r>
            <w:proofErr w:type="spellEnd"/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Vízelvezető 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Térburkolás Művelődés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tér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Névtelen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2600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Névtelen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4306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Járda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Arany J.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Járda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Közterület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Kossuth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360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Közterület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368/2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Autóbusz váróhelység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váróhelység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372/1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Közterület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Petőfi 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Közterület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Kossuth 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1766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441/3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Kossuth 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5811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Névtelen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1186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 xml:space="preserve">Jókai u.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4186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002/6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2279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003/2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783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1582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5908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017/2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3400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2266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13478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12315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029/1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Temető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13421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Temető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034/2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3288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038/2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267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1575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3575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2971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12544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055/12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693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055/20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760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9086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062/1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491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5256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071/1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13800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072/1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5284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3616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074/1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2746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1164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3764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077/2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3412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4231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079/2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2791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13277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3940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1382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089/2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3838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089/4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1623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2639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091/11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3286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091/31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892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091/32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890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6475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33995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6420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1939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10658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2811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4482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122/5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790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4032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124/5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2613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124/6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830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124/10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1209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Külterületi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383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8501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145/2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1163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7329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150/5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2307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árok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2216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Közút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478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1307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Saját használatú út</w:t>
            </w:r>
          </w:p>
        </w:tc>
      </w:tr>
      <w:tr w:rsidR="005F2FF3" w:rsidRPr="005F2FF3" w:rsidTr="005F2FF3">
        <w:trPr>
          <w:cantSplit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166/1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Külterület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2730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F3" w:rsidRPr="005F2FF3" w:rsidRDefault="005F2FF3" w:rsidP="005F2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FF3">
              <w:rPr>
                <w:rFonts w:ascii="Times New Roman" w:eastAsia="Times New Roman" w:hAnsi="Times New Roman" w:cs="Times New Roman"/>
                <w:lang w:eastAsia="hu-HU"/>
              </w:rPr>
              <w:t>út</w:t>
            </w:r>
          </w:p>
        </w:tc>
      </w:tr>
    </w:tbl>
    <w:p w:rsidR="005E0978" w:rsidRPr="005E097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E0978" w:rsidRPr="005E097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984D80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  </w:t>
      </w:r>
      <w:proofErr w:type="gram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3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26E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(IV.09.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5E0978" w:rsidRPr="005E097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EA4" w:rsidRDefault="00F26EA4" w:rsidP="00F2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k</w:t>
      </w:r>
      <w:r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orlátozottan forgalomképes ingatlan vagyon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5F2FF3" w:rsidRPr="005E0978" w:rsidRDefault="005F2FF3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851"/>
        <w:gridCol w:w="2182"/>
        <w:gridCol w:w="1620"/>
        <w:gridCol w:w="1017"/>
        <w:gridCol w:w="3021"/>
      </w:tblGrid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Sorszám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Hrsz.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Utca, házszám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Terület (m2)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Építmények felsorolása, egyéb megjegyzés</w:t>
            </w:r>
          </w:p>
        </w:tc>
      </w:tr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Iroda és orvosi rendelő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Petőfi u. 198.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4672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Iroda és orvosi rendelő</w:t>
            </w:r>
          </w:p>
        </w:tc>
      </w:tr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Kultúrház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Petőfi u. 81.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Kultúrház</w:t>
            </w:r>
          </w:p>
        </w:tc>
      </w:tr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Víztorony területe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Külterület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Víztorony területe</w:t>
            </w:r>
          </w:p>
        </w:tc>
      </w:tr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Sporttelep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Külterület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7394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Sporttelep</w:t>
            </w:r>
          </w:p>
        </w:tc>
      </w:tr>
      <w:tr w:rsidR="005F2FF3" w:rsidRPr="004B1AA8" w:rsidTr="005F2FF3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Vízmű terület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Külterület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FF3" w:rsidRPr="004B1AA8" w:rsidRDefault="005F2FF3">
            <w:pPr>
              <w:rPr>
                <w:rFonts w:ascii="Times New Roman" w:hAnsi="Times New Roman" w:cs="Times New Roman"/>
                <w:color w:val="000000"/>
              </w:rPr>
            </w:pPr>
            <w:r w:rsidRPr="004B1AA8">
              <w:rPr>
                <w:rFonts w:ascii="Times New Roman" w:hAnsi="Times New Roman" w:cs="Times New Roman"/>
                <w:color w:val="000000"/>
              </w:rPr>
              <w:t>Vízmű terület</w:t>
            </w:r>
          </w:p>
        </w:tc>
      </w:tr>
    </w:tbl>
    <w:p w:rsidR="005E0978" w:rsidRPr="004B1AA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1AA8">
        <w:rPr>
          <w:rFonts w:ascii="Times New Roman" w:eastAsia="Times New Roman" w:hAnsi="Times New Roman" w:cs="Times New Roman"/>
          <w:szCs w:val="24"/>
          <w:lang w:eastAsia="hu-HU"/>
        </w:rPr>
        <w:br w:type="page"/>
      </w:r>
    </w:p>
    <w:p w:rsidR="00F26EA4" w:rsidRPr="005E0978" w:rsidRDefault="00984D80" w:rsidP="00F26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3. </w:t>
      </w:r>
      <w:r w:rsidR="00F26E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</w:t>
      </w:r>
      <w:r w:rsidR="00F26EA4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F26EA4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F26E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5/2013. (IV.09.</w:t>
      </w:r>
      <w:r w:rsidR="00F26EA4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F26EA4" w:rsidRDefault="00F26EA4" w:rsidP="00F2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6EA4" w:rsidRDefault="00F26EA4" w:rsidP="00F2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653E57">
        <w:rPr>
          <w:rFonts w:ascii="Times New Roman" w:hAnsi="Times New Roman" w:cs="Times New Roman"/>
          <w:b/>
          <w:sz w:val="24"/>
          <w:szCs w:val="24"/>
        </w:rPr>
        <w:t>önkormányzat üzleti vagyonába tartozó vagyonelemek</w:t>
      </w: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Wingdings 2" w:eastAsia="Times New Roman" w:hAnsi="Wingdings 2" w:cs="Wingdings 2"/>
          <w:sz w:val="24"/>
          <w:szCs w:val="24"/>
          <w:lang w:eastAsia="hu-HU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98"/>
        <w:gridCol w:w="801"/>
        <w:gridCol w:w="2271"/>
        <w:gridCol w:w="1984"/>
        <w:gridCol w:w="1418"/>
        <w:gridCol w:w="2977"/>
      </w:tblGrid>
      <w:tr w:rsidR="00464A9A" w:rsidRPr="00464A9A" w:rsidTr="00F26EA4">
        <w:trPr>
          <w:trHeight w:val="9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Sorszám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Hrsz.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Utca, házszám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Terület (m2)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Építmények felsorolása, egyéb megjegyzés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Petőfi u.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62.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74.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Raktárépület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Raktárépület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264/1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265/2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Petőfi u.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Etrdő</w:t>
            </w:r>
            <w:proofErr w:type="spellEnd"/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játszótér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Erdő és játszótér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368/1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372/2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 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Beépítetlen terület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441/2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Vegyesbolt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Vegyesbolt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023/2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Etrdő</w:t>
            </w:r>
            <w:proofErr w:type="spellEnd"/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játszótér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Külterület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414372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Erdő és játszótér</w:t>
            </w:r>
          </w:p>
        </w:tc>
      </w:tr>
      <w:tr w:rsidR="00464A9A" w:rsidRPr="00464A9A" w:rsidTr="00F26EA4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062/4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Külterület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9A" w:rsidRPr="004B1AA8" w:rsidRDefault="00464A9A" w:rsidP="004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B1A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Szántó</w:t>
            </w:r>
          </w:p>
        </w:tc>
      </w:tr>
    </w:tbl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Wingdings 2" w:eastAsia="Times New Roman" w:hAnsi="Wingdings 2" w:cs="Wingdings 2"/>
          <w:sz w:val="24"/>
          <w:szCs w:val="24"/>
          <w:lang w:eastAsia="hu-HU"/>
        </w:rPr>
      </w:pPr>
    </w:p>
    <w:p w:rsidR="005E0978" w:rsidRPr="005E0978" w:rsidRDefault="005E0978" w:rsidP="005E09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464A9A" w:rsidP="005E09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984D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melléklet  </w:t>
      </w:r>
      <w:proofErr w:type="gram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36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26E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(IV.09.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Wingdings 2" w:eastAsia="Times New Roman" w:hAnsi="Wingdings 2" w:cs="Wingdings 2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Wingdings 2" w:eastAsia="Times New Roman" w:hAnsi="Wingdings 2" w:cs="Wingdings 2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both"/>
        <w:rPr>
          <w:rFonts w:ascii="Wingdings 2" w:eastAsia="Times New Roman" w:hAnsi="Wingdings 2" w:cs="Wingdings 2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0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vagyonkezelésbe adható vagyonelemek</w:t>
      </w: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978" w:rsidRPr="005E0978" w:rsidRDefault="00E3363F" w:rsidP="005E09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Borszörcsök</w:t>
      </w:r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ivóvízellátó  </w:t>
      </w:r>
      <w:proofErr w:type="spell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viziközmű-rendszerhez</w:t>
      </w:r>
      <w:proofErr w:type="spellEnd"/>
      <w:proofErr w:type="gramEnd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tartozó </w:t>
      </w:r>
      <w:proofErr w:type="spellStart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viziközmű</w:t>
      </w:r>
      <w:proofErr w:type="spellEnd"/>
      <w:r w:rsidR="005E0978"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vagyon.</w:t>
      </w:r>
    </w:p>
    <w:p w:rsidR="005E0978" w:rsidRPr="005E0978" w:rsidRDefault="005E0978" w:rsidP="005E097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978" w:rsidRPr="005E0978" w:rsidRDefault="005E0978" w:rsidP="004B1AA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kijelölt</w:t>
      </w:r>
      <w:proofErr w:type="gramEnd"/>
      <w:r w:rsidRPr="005E0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vagyonkezelő:</w:t>
      </w:r>
      <w:r w:rsidRPr="005E0978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hu-HU"/>
        </w:rPr>
        <w:t xml:space="preserve"> </w:t>
      </w:r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BAKONYKARSZT Víz- és Csatornamű </w:t>
      </w:r>
      <w:proofErr w:type="spellStart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E0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8200 Veszprém Pápai út 41. </w:t>
      </w:r>
    </w:p>
    <w:p w:rsidR="003B615B" w:rsidRDefault="003B615B"/>
    <w:sectPr w:rsidR="003B615B" w:rsidSect="009603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BA" w:rsidRDefault="00D246BA" w:rsidP="00D246BA">
      <w:pPr>
        <w:spacing w:after="0" w:line="240" w:lineRule="auto"/>
      </w:pPr>
      <w:r>
        <w:separator/>
      </w:r>
    </w:p>
  </w:endnote>
  <w:endnote w:type="continuationSeparator" w:id="0">
    <w:p w:rsidR="00D246BA" w:rsidRDefault="00D246BA" w:rsidP="00D2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5157"/>
      <w:docPartObj>
        <w:docPartGallery w:val="Page Numbers (Bottom of Page)"/>
        <w:docPartUnique/>
      </w:docPartObj>
    </w:sdtPr>
    <w:sdtContent>
      <w:p w:rsidR="00D246BA" w:rsidRDefault="00D246BA">
        <w:pPr>
          <w:pStyle w:val="llb"/>
          <w:jc w:val="center"/>
        </w:pPr>
        <w:fldSimple w:instr=" PAGE   \* MERGEFORMAT ">
          <w:r w:rsidR="00984D80">
            <w:rPr>
              <w:noProof/>
            </w:rPr>
            <w:t>11</w:t>
          </w:r>
        </w:fldSimple>
      </w:p>
    </w:sdtContent>
  </w:sdt>
  <w:p w:rsidR="00D246BA" w:rsidRDefault="00D246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BA" w:rsidRDefault="00D246BA" w:rsidP="00D246BA">
      <w:pPr>
        <w:spacing w:after="0" w:line="240" w:lineRule="auto"/>
      </w:pPr>
      <w:r>
        <w:separator/>
      </w:r>
    </w:p>
  </w:footnote>
  <w:footnote w:type="continuationSeparator" w:id="0">
    <w:p w:rsidR="00D246BA" w:rsidRDefault="00D246BA" w:rsidP="00D2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53B"/>
    <w:multiLevelType w:val="hybridMultilevel"/>
    <w:tmpl w:val="CD7CBE34"/>
    <w:lvl w:ilvl="0" w:tplc="E9366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48A"/>
    <w:multiLevelType w:val="hybridMultilevel"/>
    <w:tmpl w:val="4A22800C"/>
    <w:lvl w:ilvl="0" w:tplc="47E46C9E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526"/>
    <w:multiLevelType w:val="hybridMultilevel"/>
    <w:tmpl w:val="CC7674AE"/>
    <w:lvl w:ilvl="0" w:tplc="BBCAC13A">
      <w:start w:val="1"/>
      <w:numFmt w:val="lowerLetter"/>
      <w:lvlText w:val="%1.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5E1E0D"/>
    <w:multiLevelType w:val="hybridMultilevel"/>
    <w:tmpl w:val="29DA0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84C"/>
    <w:multiLevelType w:val="hybridMultilevel"/>
    <w:tmpl w:val="F68AB688"/>
    <w:lvl w:ilvl="0" w:tplc="0EECF198">
      <w:start w:val="1"/>
      <w:numFmt w:val="lowerLetter"/>
      <w:lvlText w:val="%1.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8F7884"/>
    <w:multiLevelType w:val="hybridMultilevel"/>
    <w:tmpl w:val="5ACC9D6A"/>
    <w:lvl w:ilvl="0" w:tplc="6D3A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6BF"/>
    <w:multiLevelType w:val="hybridMultilevel"/>
    <w:tmpl w:val="74EE6E94"/>
    <w:lvl w:ilvl="0" w:tplc="DBF00D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3D52"/>
    <w:multiLevelType w:val="singleLevel"/>
    <w:tmpl w:val="4A0AAF8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4A4E4F93"/>
    <w:multiLevelType w:val="hybridMultilevel"/>
    <w:tmpl w:val="FAC88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21DC5"/>
    <w:multiLevelType w:val="hybridMultilevel"/>
    <w:tmpl w:val="6FFC7364"/>
    <w:lvl w:ilvl="0" w:tplc="BC9E7F5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1962C42"/>
    <w:multiLevelType w:val="singleLevel"/>
    <w:tmpl w:val="34BEAA08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</w:abstractNum>
  <w:abstractNum w:abstractNumId="11">
    <w:nsid w:val="60DD580E"/>
    <w:multiLevelType w:val="hybridMultilevel"/>
    <w:tmpl w:val="781E7D20"/>
    <w:lvl w:ilvl="0" w:tplc="B1CEA83C">
      <w:start w:val="1"/>
      <w:numFmt w:val="lowerLetter"/>
      <w:lvlText w:val="%1.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FCA6BC2"/>
    <w:multiLevelType w:val="hybridMultilevel"/>
    <w:tmpl w:val="78166642"/>
    <w:lvl w:ilvl="0" w:tplc="FC3657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0FBC"/>
    <w:multiLevelType w:val="hybridMultilevel"/>
    <w:tmpl w:val="E0C20BF2"/>
    <w:lvl w:ilvl="0" w:tplc="E14EFADE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29FD"/>
    <w:multiLevelType w:val="hybridMultilevel"/>
    <w:tmpl w:val="4BF0A3E2"/>
    <w:lvl w:ilvl="0" w:tplc="AA3ADC60">
      <w:start w:val="1"/>
      <w:numFmt w:val="lowerLetter"/>
      <w:lvlText w:val="%1.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A0F6E"/>
    <w:multiLevelType w:val="singleLevel"/>
    <w:tmpl w:val="EBAE0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EA07D2"/>
    <w:multiLevelType w:val="singleLevel"/>
    <w:tmpl w:val="EBAE0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88"/>
    <w:rsid w:val="000073E0"/>
    <w:rsid w:val="00091B8C"/>
    <w:rsid w:val="00191A88"/>
    <w:rsid w:val="00311C5C"/>
    <w:rsid w:val="003B615B"/>
    <w:rsid w:val="003F0AC8"/>
    <w:rsid w:val="00464A9A"/>
    <w:rsid w:val="004651C8"/>
    <w:rsid w:val="004A679B"/>
    <w:rsid w:val="004B1AA8"/>
    <w:rsid w:val="00577A15"/>
    <w:rsid w:val="005E0978"/>
    <w:rsid w:val="005F2FF3"/>
    <w:rsid w:val="007331F1"/>
    <w:rsid w:val="007B1EEA"/>
    <w:rsid w:val="00911490"/>
    <w:rsid w:val="009124C1"/>
    <w:rsid w:val="009218F5"/>
    <w:rsid w:val="0096036B"/>
    <w:rsid w:val="00984D80"/>
    <w:rsid w:val="00A641CD"/>
    <w:rsid w:val="00CC1FD5"/>
    <w:rsid w:val="00CD67DB"/>
    <w:rsid w:val="00D00277"/>
    <w:rsid w:val="00D246BA"/>
    <w:rsid w:val="00D85548"/>
    <w:rsid w:val="00DA4F6C"/>
    <w:rsid w:val="00E3363F"/>
    <w:rsid w:val="00F214B6"/>
    <w:rsid w:val="00F2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36B"/>
  </w:style>
  <w:style w:type="paragraph" w:styleId="Cmsor1">
    <w:name w:val="heading 1"/>
    <w:basedOn w:val="Norml"/>
    <w:next w:val="Norml"/>
    <w:link w:val="Cmsor1Char"/>
    <w:qFormat/>
    <w:rsid w:val="005E0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097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numbering" w:customStyle="1" w:styleId="Nemlista1">
    <w:name w:val="Nem lista1"/>
    <w:next w:val="Nemlista"/>
    <w:semiHidden/>
    <w:rsid w:val="005E0978"/>
  </w:style>
  <w:style w:type="character" w:customStyle="1" w:styleId="Szvegtrzs">
    <w:name w:val="Szövegtörzs_"/>
    <w:link w:val="Szvegtrzs1"/>
    <w:locked/>
    <w:rsid w:val="005E0978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E0978"/>
    <w:pPr>
      <w:widowControl w:val="0"/>
      <w:shd w:val="clear" w:color="auto" w:fill="FFFFFF"/>
      <w:spacing w:after="0" w:line="581" w:lineRule="exact"/>
      <w:ind w:hanging="880"/>
      <w:jc w:val="both"/>
    </w:pPr>
    <w:rPr>
      <w:rFonts w:ascii="Book Antiqua" w:hAnsi="Book Antiqua" w:cs="Book Antiqua"/>
      <w:sz w:val="23"/>
      <w:szCs w:val="23"/>
    </w:rPr>
  </w:style>
  <w:style w:type="paragraph" w:styleId="Listaszerbekezds">
    <w:name w:val="List Paragraph"/>
    <w:basedOn w:val="Norml"/>
    <w:uiPriority w:val="34"/>
    <w:qFormat/>
    <w:rsid w:val="005E09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jlcvagylbjegyzet">
    <w:name w:val="Fejléc vagy lábjegyzet"/>
    <w:rsid w:val="005E0978"/>
    <w:rPr>
      <w:rFonts w:ascii="Book Antiqua" w:hAnsi="Book Antiqua" w:cs="Book Antiqua"/>
      <w:b/>
      <w:bCs/>
      <w:color w:val="000000"/>
      <w:spacing w:val="0"/>
      <w:w w:val="100"/>
      <w:position w:val="0"/>
      <w:sz w:val="21"/>
      <w:szCs w:val="21"/>
      <w:u w:val="none"/>
      <w:lang w:val="hu-HU"/>
    </w:rPr>
  </w:style>
  <w:style w:type="paragraph" w:styleId="TJ1">
    <w:name w:val="toc 1"/>
    <w:basedOn w:val="Norml"/>
    <w:next w:val="Norml"/>
    <w:autoRedefine/>
    <w:rsid w:val="005E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E0978"/>
    <w:rPr>
      <w:color w:val="0000FF"/>
      <w:u w:val="single"/>
    </w:rPr>
  </w:style>
  <w:style w:type="paragraph" w:styleId="lfej">
    <w:name w:val="header"/>
    <w:basedOn w:val="Norml"/>
    <w:link w:val="lfejChar"/>
    <w:rsid w:val="005E0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E09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5E0978"/>
  </w:style>
  <w:style w:type="paragraph" w:styleId="llb">
    <w:name w:val="footer"/>
    <w:basedOn w:val="Norml"/>
    <w:link w:val="llbChar"/>
    <w:uiPriority w:val="99"/>
    <w:rsid w:val="005E0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E0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kvszvege">
    <w:name w:val="a jkv szövege"/>
    <w:basedOn w:val="Norml"/>
    <w:rsid w:val="005E0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E0978"/>
    <w:pPr>
      <w:tabs>
        <w:tab w:val="left" w:pos="426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E09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szvege">
    <w:name w:val="bekezdés szövege"/>
    <w:basedOn w:val="Norml"/>
    <w:rsid w:val="005E097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z">
    <w:name w:val="behúz"/>
    <w:basedOn w:val="ajkvszvege"/>
    <w:rsid w:val="005E0978"/>
    <w:pPr>
      <w:ind w:left="284" w:hanging="284"/>
    </w:pPr>
    <w:rPr>
      <w:snapToGrid w:val="0"/>
    </w:rPr>
  </w:style>
  <w:style w:type="paragraph" w:customStyle="1" w:styleId="adntsszvege">
    <w:name w:val="a döntés szövege"/>
    <w:basedOn w:val="Norml"/>
    <w:rsid w:val="005E0978"/>
    <w:pPr>
      <w:spacing w:after="0" w:line="240" w:lineRule="auto"/>
      <w:ind w:left="1701" w:righ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5E09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E0978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rsid w:val="005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5E097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E097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rsid w:val="005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E09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E0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09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097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numbering" w:customStyle="1" w:styleId="Nemlista1">
    <w:name w:val="Nem lista1"/>
    <w:next w:val="Nemlista"/>
    <w:semiHidden/>
    <w:rsid w:val="005E0978"/>
  </w:style>
  <w:style w:type="character" w:customStyle="1" w:styleId="Szvegtrzs">
    <w:name w:val="Szövegtörzs_"/>
    <w:link w:val="Szvegtrzs1"/>
    <w:locked/>
    <w:rsid w:val="005E0978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E0978"/>
    <w:pPr>
      <w:widowControl w:val="0"/>
      <w:shd w:val="clear" w:color="auto" w:fill="FFFFFF"/>
      <w:spacing w:after="0" w:line="581" w:lineRule="exact"/>
      <w:ind w:hanging="880"/>
      <w:jc w:val="both"/>
    </w:pPr>
    <w:rPr>
      <w:rFonts w:ascii="Book Antiqua" w:hAnsi="Book Antiqua" w:cs="Book Antiqua"/>
      <w:sz w:val="23"/>
      <w:szCs w:val="23"/>
    </w:rPr>
  </w:style>
  <w:style w:type="paragraph" w:styleId="Listaszerbekezds">
    <w:name w:val="List Paragraph"/>
    <w:basedOn w:val="Norml"/>
    <w:uiPriority w:val="34"/>
    <w:qFormat/>
    <w:rsid w:val="005E09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jlcvagylbjegyzet">
    <w:name w:val="Fejléc vagy lábjegyzet"/>
    <w:rsid w:val="005E0978"/>
    <w:rPr>
      <w:rFonts w:ascii="Book Antiqua" w:hAnsi="Book Antiqua" w:cs="Book Antiqua"/>
      <w:b/>
      <w:bCs/>
      <w:color w:val="000000"/>
      <w:spacing w:val="0"/>
      <w:w w:val="100"/>
      <w:position w:val="0"/>
      <w:sz w:val="21"/>
      <w:szCs w:val="21"/>
      <w:u w:val="none"/>
      <w:lang w:val="hu-HU" w:eastAsia="x-none"/>
    </w:rPr>
  </w:style>
  <w:style w:type="paragraph" w:styleId="TJ1">
    <w:name w:val="toc 1"/>
    <w:basedOn w:val="Norml"/>
    <w:next w:val="Norml"/>
    <w:autoRedefine/>
    <w:rsid w:val="005E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E0978"/>
    <w:rPr>
      <w:color w:val="0000FF"/>
      <w:u w:val="single"/>
    </w:rPr>
  </w:style>
  <w:style w:type="paragraph" w:styleId="lfej">
    <w:name w:val="header"/>
    <w:basedOn w:val="Norml"/>
    <w:link w:val="lfejChar"/>
    <w:rsid w:val="005E0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E09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5E0978"/>
  </w:style>
  <w:style w:type="paragraph" w:styleId="llb">
    <w:name w:val="footer"/>
    <w:basedOn w:val="Norml"/>
    <w:link w:val="llbChar"/>
    <w:rsid w:val="005E09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E0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kvszvege">
    <w:name w:val="a jkv szövege"/>
    <w:basedOn w:val="Norml"/>
    <w:rsid w:val="005E0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E0978"/>
    <w:pPr>
      <w:tabs>
        <w:tab w:val="left" w:pos="426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E09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szvege">
    <w:name w:val="bekezdés szövege"/>
    <w:basedOn w:val="Norml"/>
    <w:rsid w:val="005E097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z">
    <w:name w:val="behúz"/>
    <w:basedOn w:val="ajkvszvege"/>
    <w:rsid w:val="005E0978"/>
    <w:pPr>
      <w:ind w:left="284" w:hanging="284"/>
    </w:pPr>
    <w:rPr>
      <w:snapToGrid w:val="0"/>
    </w:rPr>
  </w:style>
  <w:style w:type="paragraph" w:customStyle="1" w:styleId="adntsszvege">
    <w:name w:val="a döntés szövege"/>
    <w:basedOn w:val="Norml"/>
    <w:rsid w:val="005E0978"/>
    <w:pPr>
      <w:spacing w:after="0" w:line="240" w:lineRule="auto"/>
      <w:ind w:left="1701" w:righ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5E09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E0978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rsid w:val="005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5E097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5E097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rsid w:val="005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E09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E0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2523</Words>
  <Characters>17410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.</cp:lastModifiedBy>
  <cp:revision>12</cp:revision>
  <cp:lastPrinted>2013-04-09T10:06:00Z</cp:lastPrinted>
  <dcterms:created xsi:type="dcterms:W3CDTF">2013-03-24T20:48:00Z</dcterms:created>
  <dcterms:modified xsi:type="dcterms:W3CDTF">2013-04-18T12:13:00Z</dcterms:modified>
</cp:coreProperties>
</file>